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1A78D6" w:rsidTr="003F37AC">
        <w:tc>
          <w:tcPr>
            <w:tcW w:w="5495" w:type="dxa"/>
          </w:tcPr>
          <w:p w:rsidR="001A78D6" w:rsidRDefault="001A78D6" w:rsidP="003F37AC">
            <w:pPr>
              <w:widowControl w:val="0"/>
              <w:ind w:right="397"/>
              <w:jc w:val="both"/>
              <w:rPr>
                <w:b/>
                <w:bCs/>
              </w:rPr>
            </w:pPr>
            <w:r>
              <w:rPr>
                <w:b/>
              </w:rPr>
              <w:t>EAST AREA PLANNING COMMITTEE</w:t>
            </w:r>
          </w:p>
        </w:tc>
        <w:tc>
          <w:tcPr>
            <w:tcW w:w="3793" w:type="dxa"/>
          </w:tcPr>
          <w:p w:rsidR="001A78D6" w:rsidRDefault="001A78D6" w:rsidP="003F37AC">
            <w:pPr>
              <w:widowControl w:val="0"/>
              <w:ind w:right="397"/>
              <w:jc w:val="right"/>
            </w:pPr>
          </w:p>
        </w:tc>
      </w:tr>
    </w:tbl>
    <w:p w:rsidR="001A78D6" w:rsidRDefault="001A78D6" w:rsidP="001A78D6">
      <w:pPr>
        <w:jc w:val="both"/>
      </w:pPr>
    </w:p>
    <w:tbl>
      <w:tblPr>
        <w:tblW w:w="0" w:type="auto"/>
        <w:tblLook w:val="0000" w:firstRow="0" w:lastRow="0" w:firstColumn="0" w:lastColumn="0" w:noHBand="0" w:noVBand="0"/>
      </w:tblPr>
      <w:tblGrid>
        <w:gridCol w:w="2651"/>
        <w:gridCol w:w="6591"/>
      </w:tblGrid>
      <w:tr w:rsidR="001A78D6" w:rsidTr="003F37AC">
        <w:tblPrEx>
          <w:tblCellMar>
            <w:top w:w="0" w:type="dxa"/>
            <w:bottom w:w="0" w:type="dxa"/>
          </w:tblCellMar>
        </w:tblPrEx>
        <w:tc>
          <w:tcPr>
            <w:tcW w:w="2660" w:type="dxa"/>
          </w:tcPr>
          <w:p w:rsidR="001A78D6" w:rsidRDefault="001A78D6" w:rsidP="003F37AC">
            <w:pPr>
              <w:jc w:val="both"/>
            </w:pPr>
            <w:r>
              <w:rPr>
                <w:b/>
                <w:bCs/>
              </w:rPr>
              <w:t>Application Number:</w:t>
            </w:r>
          </w:p>
        </w:tc>
        <w:tc>
          <w:tcPr>
            <w:tcW w:w="6627" w:type="dxa"/>
          </w:tcPr>
          <w:p w:rsidR="001A78D6" w:rsidRDefault="001A78D6" w:rsidP="003F37AC">
            <w:pPr>
              <w:jc w:val="both"/>
            </w:pPr>
            <w:r>
              <w:t>18/01385/VAR</w:t>
            </w:r>
          </w:p>
        </w:tc>
      </w:tr>
      <w:tr w:rsidR="001A78D6" w:rsidTr="003F37AC">
        <w:tblPrEx>
          <w:tblCellMar>
            <w:top w:w="0" w:type="dxa"/>
            <w:bottom w:w="0" w:type="dxa"/>
          </w:tblCellMar>
        </w:tblPrEx>
        <w:tc>
          <w:tcPr>
            <w:tcW w:w="2660" w:type="dxa"/>
          </w:tcPr>
          <w:p w:rsidR="001A78D6" w:rsidRDefault="001A78D6" w:rsidP="003F37AC">
            <w:pPr>
              <w:jc w:val="both"/>
            </w:pP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Default="001A78D6" w:rsidP="003F37AC">
            <w:pPr>
              <w:jc w:val="both"/>
            </w:pPr>
            <w:r>
              <w:rPr>
                <w:b/>
                <w:bCs/>
              </w:rPr>
              <w:t>Decision Due by:</w:t>
            </w:r>
          </w:p>
        </w:tc>
        <w:tc>
          <w:tcPr>
            <w:tcW w:w="6627" w:type="dxa"/>
          </w:tcPr>
          <w:p w:rsidR="001A78D6" w:rsidRPr="000E777F" w:rsidRDefault="001A78D6" w:rsidP="003F37AC">
            <w:pPr>
              <w:jc w:val="both"/>
            </w:pPr>
            <w:r>
              <w:t>28th August 2018</w:t>
            </w:r>
          </w:p>
        </w:tc>
      </w:tr>
      <w:tr w:rsidR="001A78D6" w:rsidTr="003F37AC">
        <w:tblPrEx>
          <w:tblCellMar>
            <w:top w:w="0" w:type="dxa"/>
            <w:bottom w:w="0" w:type="dxa"/>
          </w:tblCellMar>
        </w:tblPrEx>
        <w:tc>
          <w:tcPr>
            <w:tcW w:w="2660" w:type="dxa"/>
          </w:tcPr>
          <w:p w:rsidR="001A78D6" w:rsidRDefault="001A78D6" w:rsidP="003F37AC">
            <w:pPr>
              <w:jc w:val="both"/>
            </w:pP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Pr="00AD7F54" w:rsidRDefault="001A78D6" w:rsidP="003F37AC">
            <w:pPr>
              <w:jc w:val="both"/>
              <w:rPr>
                <w:b/>
              </w:rPr>
            </w:pPr>
            <w:r w:rsidRPr="00AD7F54">
              <w:rPr>
                <w:b/>
              </w:rPr>
              <w:t>Extension of Time:</w:t>
            </w: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Default="001A78D6" w:rsidP="003F37AC">
            <w:pPr>
              <w:jc w:val="both"/>
            </w:pP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Default="001A78D6" w:rsidP="003F37AC">
            <w:pPr>
              <w:jc w:val="both"/>
              <w:rPr>
                <w:b/>
                <w:bCs/>
              </w:rPr>
            </w:pPr>
            <w:r>
              <w:rPr>
                <w:b/>
                <w:bCs/>
              </w:rPr>
              <w:t>Proposal:</w:t>
            </w:r>
          </w:p>
        </w:tc>
        <w:tc>
          <w:tcPr>
            <w:tcW w:w="6627" w:type="dxa"/>
          </w:tcPr>
          <w:p w:rsidR="001A78D6" w:rsidRDefault="001A78D6" w:rsidP="003F37AC">
            <w:pPr>
              <w:jc w:val="both"/>
            </w:pPr>
            <w:r>
              <w:t>Variation of condition 2 (Develop in accordance with approved plans) of planning permission 16/03078/FUL (The change of use of land for purposes within Class D2 'Assembly &amp; Leisure' of the Town &amp; Country Planning (Use Classes) Order 1987 (as amended) including the development of: a new vehicular access; an internal road and vehicle parking area; grass and floodlit artificial sports pitches;  a pavilion building including changing facilities; cycle tracks; drainage infrastructure including surface water storage; means of enclosure; &amp; the creation of wildlife habitat) to allow changes to the pavilion design including an alternative ground floor layout.</w:t>
            </w:r>
          </w:p>
        </w:tc>
      </w:tr>
      <w:tr w:rsidR="001A78D6" w:rsidTr="003F37AC">
        <w:tblPrEx>
          <w:tblCellMar>
            <w:top w:w="0" w:type="dxa"/>
            <w:bottom w:w="0" w:type="dxa"/>
          </w:tblCellMar>
        </w:tblPrEx>
        <w:tc>
          <w:tcPr>
            <w:tcW w:w="2660" w:type="dxa"/>
          </w:tcPr>
          <w:p w:rsidR="001A78D6" w:rsidRDefault="001A78D6" w:rsidP="003F37AC">
            <w:pPr>
              <w:jc w:val="both"/>
              <w:rPr>
                <w:b/>
                <w:bCs/>
              </w:rPr>
            </w:pP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Default="001A78D6" w:rsidP="003F37AC">
            <w:pPr>
              <w:jc w:val="both"/>
              <w:rPr>
                <w:b/>
                <w:bCs/>
              </w:rPr>
            </w:pPr>
            <w:r>
              <w:rPr>
                <w:b/>
                <w:bCs/>
              </w:rPr>
              <w:t>Site Address:</w:t>
            </w:r>
          </w:p>
        </w:tc>
        <w:tc>
          <w:tcPr>
            <w:tcW w:w="6627" w:type="dxa"/>
          </w:tcPr>
          <w:p w:rsidR="001A78D6" w:rsidRDefault="001A78D6" w:rsidP="003F37AC">
            <w:pPr>
              <w:jc w:val="both"/>
            </w:pPr>
            <w:r>
              <w:t xml:space="preserve">Land South Of,  Oxford Road,  </w:t>
            </w:r>
            <w:proofErr w:type="spellStart"/>
            <w:r>
              <w:t>Horspath</w:t>
            </w:r>
            <w:proofErr w:type="spellEnd"/>
            <w:r>
              <w:t>, Oxford</w:t>
            </w:r>
          </w:p>
        </w:tc>
      </w:tr>
      <w:tr w:rsidR="001A78D6" w:rsidTr="003F37AC">
        <w:tblPrEx>
          <w:tblCellMar>
            <w:top w:w="0" w:type="dxa"/>
            <w:bottom w:w="0" w:type="dxa"/>
          </w:tblCellMar>
        </w:tblPrEx>
        <w:tc>
          <w:tcPr>
            <w:tcW w:w="2660" w:type="dxa"/>
          </w:tcPr>
          <w:p w:rsidR="001A78D6" w:rsidRDefault="001A78D6" w:rsidP="003F37AC">
            <w:pPr>
              <w:jc w:val="both"/>
            </w:pPr>
          </w:p>
        </w:tc>
        <w:tc>
          <w:tcPr>
            <w:tcW w:w="6627" w:type="dxa"/>
          </w:tcPr>
          <w:p w:rsidR="001A78D6" w:rsidRDefault="001A78D6" w:rsidP="003F37AC">
            <w:pPr>
              <w:jc w:val="both"/>
            </w:pPr>
          </w:p>
        </w:tc>
      </w:tr>
      <w:tr w:rsidR="001A78D6" w:rsidTr="003F37AC">
        <w:tblPrEx>
          <w:tblCellMar>
            <w:top w:w="0" w:type="dxa"/>
            <w:bottom w:w="0" w:type="dxa"/>
          </w:tblCellMar>
        </w:tblPrEx>
        <w:tc>
          <w:tcPr>
            <w:tcW w:w="2660" w:type="dxa"/>
          </w:tcPr>
          <w:p w:rsidR="001A78D6" w:rsidRDefault="001A78D6" w:rsidP="003F37AC">
            <w:pPr>
              <w:jc w:val="both"/>
              <w:rPr>
                <w:b/>
                <w:bCs/>
              </w:rPr>
            </w:pPr>
            <w:r>
              <w:rPr>
                <w:b/>
                <w:bCs/>
              </w:rPr>
              <w:t>Ward:</w:t>
            </w:r>
          </w:p>
        </w:tc>
        <w:tc>
          <w:tcPr>
            <w:tcW w:w="6627" w:type="dxa"/>
          </w:tcPr>
          <w:p w:rsidR="001A78D6" w:rsidRDefault="001A78D6" w:rsidP="003F37AC">
            <w:pPr>
              <w:jc w:val="both"/>
            </w:pPr>
            <w:r>
              <w:t>Lye Valley Ward</w:t>
            </w:r>
          </w:p>
        </w:tc>
      </w:tr>
    </w:tbl>
    <w:p w:rsidR="001A78D6" w:rsidRDefault="001A78D6" w:rsidP="001A78D6">
      <w:pPr>
        <w:jc w:val="both"/>
      </w:pPr>
    </w:p>
    <w:tbl>
      <w:tblPr>
        <w:tblW w:w="9288" w:type="dxa"/>
        <w:tblLayout w:type="fixed"/>
        <w:tblLook w:val="0000" w:firstRow="0" w:lastRow="0" w:firstColumn="0" w:lastColumn="0" w:noHBand="0" w:noVBand="0"/>
      </w:tblPr>
      <w:tblGrid>
        <w:gridCol w:w="2660"/>
        <w:gridCol w:w="1984"/>
        <w:gridCol w:w="1418"/>
        <w:gridCol w:w="3226"/>
      </w:tblGrid>
      <w:tr w:rsidR="001A78D6" w:rsidRPr="00F448A8" w:rsidTr="003F37AC">
        <w:tc>
          <w:tcPr>
            <w:tcW w:w="2660" w:type="dxa"/>
          </w:tcPr>
          <w:p w:rsidR="001A78D6" w:rsidRDefault="001A78D6" w:rsidP="003F37AC">
            <w:pPr>
              <w:rPr>
                <w:b/>
                <w:bCs/>
              </w:rPr>
            </w:pPr>
            <w:r>
              <w:rPr>
                <w:b/>
                <w:bCs/>
              </w:rPr>
              <w:t>Case Officer</w:t>
            </w:r>
          </w:p>
          <w:p w:rsidR="001A78D6" w:rsidRPr="00F448A8" w:rsidRDefault="001A78D6" w:rsidP="003F37AC">
            <w:pPr>
              <w:rPr>
                <w:b/>
                <w:bCs/>
              </w:rPr>
            </w:pPr>
          </w:p>
        </w:tc>
        <w:tc>
          <w:tcPr>
            <w:tcW w:w="1984" w:type="dxa"/>
          </w:tcPr>
          <w:p w:rsidR="001A78D6" w:rsidRPr="00F448A8" w:rsidRDefault="001A78D6" w:rsidP="003F37AC">
            <w:r>
              <w:t>Michael Kemp</w:t>
            </w:r>
          </w:p>
        </w:tc>
        <w:tc>
          <w:tcPr>
            <w:tcW w:w="4644" w:type="dxa"/>
            <w:gridSpan w:val="2"/>
          </w:tcPr>
          <w:p w:rsidR="001A78D6" w:rsidRPr="00F448A8" w:rsidRDefault="001A78D6" w:rsidP="003F37AC"/>
        </w:tc>
      </w:tr>
      <w:tr w:rsidR="001A78D6" w:rsidRPr="00F448A8" w:rsidTr="003F37AC">
        <w:tc>
          <w:tcPr>
            <w:tcW w:w="2660" w:type="dxa"/>
          </w:tcPr>
          <w:p w:rsidR="001A78D6" w:rsidRPr="00F448A8" w:rsidRDefault="001A78D6" w:rsidP="003F37AC">
            <w:r w:rsidRPr="00F448A8">
              <w:rPr>
                <w:b/>
                <w:bCs/>
              </w:rPr>
              <w:t>Agent:</w:t>
            </w:r>
            <w:r w:rsidRPr="00F448A8">
              <w:t xml:space="preserve"> </w:t>
            </w:r>
          </w:p>
        </w:tc>
        <w:tc>
          <w:tcPr>
            <w:tcW w:w="1984" w:type="dxa"/>
          </w:tcPr>
          <w:p w:rsidR="001A78D6" w:rsidRPr="00F448A8" w:rsidRDefault="001A78D6" w:rsidP="003F37AC">
            <w:r w:rsidRPr="00F448A8">
              <w:t>Mr Timothy Pope</w:t>
            </w:r>
          </w:p>
        </w:tc>
        <w:tc>
          <w:tcPr>
            <w:tcW w:w="1418" w:type="dxa"/>
          </w:tcPr>
          <w:p w:rsidR="001A78D6" w:rsidRPr="00F448A8" w:rsidRDefault="001A78D6" w:rsidP="003F37AC">
            <w:r w:rsidRPr="00F448A8">
              <w:rPr>
                <w:b/>
                <w:bCs/>
              </w:rPr>
              <w:t>Applicant:</w:t>
            </w:r>
            <w:r w:rsidRPr="00F448A8">
              <w:t xml:space="preserve"> </w:t>
            </w:r>
          </w:p>
        </w:tc>
        <w:tc>
          <w:tcPr>
            <w:tcW w:w="3226" w:type="dxa"/>
          </w:tcPr>
          <w:p w:rsidR="001A78D6" w:rsidRPr="00F448A8" w:rsidRDefault="001A78D6" w:rsidP="003F37AC">
            <w:r w:rsidRPr="00F448A8">
              <w:t>Mr Andrew Corcoran</w:t>
            </w:r>
          </w:p>
        </w:tc>
      </w:tr>
    </w:tbl>
    <w:p w:rsidR="001A78D6" w:rsidRDefault="001A78D6" w:rsidP="001A78D6">
      <w:pPr>
        <w:pBdr>
          <w:bottom w:val="single" w:sz="4" w:space="1" w:color="auto"/>
        </w:pBdr>
        <w:jc w:val="both"/>
      </w:pPr>
    </w:p>
    <w:p w:rsidR="001A78D6" w:rsidRDefault="001A78D6" w:rsidP="001A78D6">
      <w:pPr>
        <w:pBdr>
          <w:bottom w:val="single" w:sz="4" w:space="1" w:color="auto"/>
        </w:pBdr>
        <w:jc w:val="both"/>
      </w:pPr>
      <w:r w:rsidRPr="00AF1B8E">
        <w:rPr>
          <w:b/>
        </w:rPr>
        <w:t>Reason at Committee:</w:t>
      </w:r>
      <w:r>
        <w:t xml:space="preserve">  The proposals are a variation to a scheme which constituted major development. </w:t>
      </w:r>
    </w:p>
    <w:p w:rsidR="001A78D6" w:rsidRDefault="001A78D6" w:rsidP="001A78D6">
      <w:pPr>
        <w:pBdr>
          <w:bottom w:val="single" w:sz="4" w:space="1" w:color="auto"/>
        </w:pBdr>
        <w:jc w:val="both"/>
      </w:pPr>
    </w:p>
    <w:p w:rsidR="008A22C6" w:rsidRDefault="008A22C6" w:rsidP="008A22C6"/>
    <w:p w:rsidR="001A78D6" w:rsidRDefault="001A78D6" w:rsidP="001A78D6">
      <w:pPr>
        <w:widowControl w:val="0"/>
        <w:jc w:val="both"/>
        <w:rPr>
          <w:b/>
          <w:bCs/>
        </w:rPr>
      </w:pPr>
    </w:p>
    <w:p w:rsidR="001A78D6" w:rsidRDefault="001A78D6" w:rsidP="001A78D6">
      <w:pPr>
        <w:widowControl w:val="0"/>
        <w:jc w:val="both"/>
        <w:rPr>
          <w:b/>
          <w:bCs/>
        </w:rPr>
      </w:pPr>
      <w:r>
        <w:rPr>
          <w:b/>
          <w:bCs/>
        </w:rPr>
        <w:t xml:space="preserve">COMMITTEE REPORT ADDENDUM </w:t>
      </w:r>
    </w:p>
    <w:p w:rsidR="001A78D6" w:rsidRDefault="001A78D6" w:rsidP="001A78D6">
      <w:pPr>
        <w:widowControl w:val="0"/>
        <w:jc w:val="both"/>
        <w:rPr>
          <w:b/>
          <w:bCs/>
        </w:rPr>
      </w:pPr>
    </w:p>
    <w:p w:rsidR="001A78D6" w:rsidRPr="00985B20" w:rsidRDefault="001A78D6" w:rsidP="001A78D6">
      <w:pPr>
        <w:widowControl w:val="0"/>
        <w:jc w:val="both"/>
        <w:rPr>
          <w:b/>
          <w:bCs/>
        </w:rPr>
      </w:pPr>
      <w:r>
        <w:rPr>
          <w:b/>
          <w:bCs/>
        </w:rPr>
        <w:t>IMPLICATIONS OF REVISED NATIONAL PLANNING POLICY FRAMEWORK (JULY 2018)</w:t>
      </w:r>
    </w:p>
    <w:p w:rsidR="001A78D6" w:rsidRDefault="001A78D6" w:rsidP="008A22C6"/>
    <w:p w:rsidR="001A78D6" w:rsidRPr="008731E0" w:rsidRDefault="001A78D6" w:rsidP="001A78D6">
      <w:pPr>
        <w:numPr>
          <w:ilvl w:val="1"/>
          <w:numId w:val="1"/>
        </w:numPr>
        <w:ind w:left="426" w:hanging="710"/>
        <w:jc w:val="both"/>
        <w:rPr>
          <w:bCs/>
        </w:rPr>
      </w:pPr>
      <w:r w:rsidRPr="008731E0">
        <w:rPr>
          <w:bCs/>
        </w:rPr>
        <w:t>Since the publication of the agenda for this committee, the government has revised the National Planning Policy Fram</w:t>
      </w:r>
      <w:bookmarkStart w:id="0" w:name="_GoBack"/>
      <w:bookmarkEnd w:id="0"/>
      <w:r w:rsidRPr="008731E0">
        <w:rPr>
          <w:bCs/>
        </w:rPr>
        <w:t>ework (NPPF).  This replaces the version published in March 2012 which was quoted throughout the committee report:</w:t>
      </w:r>
    </w:p>
    <w:p w:rsidR="001A78D6" w:rsidRPr="008731E0" w:rsidRDefault="001A78D6" w:rsidP="001A78D6">
      <w:pPr>
        <w:jc w:val="both"/>
        <w:rPr>
          <w:bCs/>
        </w:rPr>
      </w:pPr>
    </w:p>
    <w:p w:rsidR="001A78D6" w:rsidRDefault="001A78D6" w:rsidP="001A78D6">
      <w:pPr>
        <w:numPr>
          <w:ilvl w:val="1"/>
          <w:numId w:val="1"/>
        </w:numPr>
        <w:ind w:left="426" w:hanging="710"/>
        <w:jc w:val="both"/>
        <w:rPr>
          <w:bCs/>
        </w:rPr>
      </w:pPr>
      <w:r w:rsidRPr="008731E0">
        <w:rPr>
          <w:bCs/>
        </w:rPr>
        <w:t>The following table should supersed</w:t>
      </w:r>
      <w:r>
        <w:rPr>
          <w:bCs/>
        </w:rPr>
        <w:t xml:space="preserve">e the </w:t>
      </w:r>
      <w:r w:rsidR="00B26932">
        <w:rPr>
          <w:bCs/>
        </w:rPr>
        <w:t>table</w:t>
      </w:r>
      <w:r>
        <w:rPr>
          <w:bCs/>
        </w:rPr>
        <w:t xml:space="preserve"> </w:t>
      </w:r>
      <w:r w:rsidR="00B26932">
        <w:rPr>
          <w:bCs/>
        </w:rPr>
        <w:t>listed under</w:t>
      </w:r>
      <w:r>
        <w:rPr>
          <w:bCs/>
        </w:rPr>
        <w:t xml:space="preserve"> paragraph 8</w:t>
      </w:r>
      <w:r w:rsidRPr="008731E0">
        <w:rPr>
          <w:bCs/>
        </w:rPr>
        <w:t>.1 of the committee report.</w:t>
      </w:r>
    </w:p>
    <w:p w:rsidR="001A78D6" w:rsidRDefault="001A78D6" w:rsidP="001A78D6">
      <w:pPr>
        <w:ind w:left="426"/>
        <w:jc w:val="both"/>
        <w:rPr>
          <w:bCs/>
        </w:rPr>
      </w:pPr>
    </w:p>
    <w:p w:rsidR="001A78D6" w:rsidRDefault="001A78D6" w:rsidP="001A78D6">
      <w:pPr>
        <w:ind w:left="426"/>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1A78D6" w:rsidRPr="003A7C49" w:rsidTr="003F37AC">
        <w:trPr>
          <w:trHeight w:val="573"/>
        </w:trPr>
        <w:tc>
          <w:tcPr>
            <w:tcW w:w="1809" w:type="dxa"/>
            <w:tcBorders>
              <w:bottom w:val="single" w:sz="18" w:space="0" w:color="4F81BD"/>
            </w:tcBorders>
            <w:shd w:val="clear" w:color="auto" w:fill="548DD4"/>
          </w:tcPr>
          <w:p w:rsidR="001A78D6" w:rsidRPr="003A7C49" w:rsidRDefault="001A78D6" w:rsidP="003F37AC">
            <w:pPr>
              <w:jc w:val="both"/>
              <w:rPr>
                <w:color w:val="FFFFFF"/>
                <w:sz w:val="22"/>
                <w:szCs w:val="22"/>
              </w:rPr>
            </w:pPr>
            <w:r w:rsidRPr="003A7C49">
              <w:rPr>
                <w:color w:val="FFFFFF"/>
                <w:sz w:val="22"/>
                <w:szCs w:val="22"/>
              </w:rPr>
              <w:lastRenderedPageBreak/>
              <w:t>Topic</w:t>
            </w:r>
          </w:p>
        </w:tc>
        <w:tc>
          <w:tcPr>
            <w:tcW w:w="1560" w:type="dxa"/>
            <w:tcBorders>
              <w:bottom w:val="single" w:sz="18" w:space="0" w:color="4F81BD"/>
            </w:tcBorders>
            <w:shd w:val="clear" w:color="auto" w:fill="548DD4"/>
            <w:hideMark/>
          </w:tcPr>
          <w:p w:rsidR="001A78D6" w:rsidRPr="003A7C49" w:rsidRDefault="001A78D6" w:rsidP="003F37AC">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1A78D6" w:rsidRPr="003A7C49" w:rsidRDefault="001A78D6" w:rsidP="003F37AC">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1A78D6" w:rsidRPr="003A7C49" w:rsidRDefault="001A78D6" w:rsidP="003F37AC">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1A78D6" w:rsidRPr="003A7C49" w:rsidRDefault="001A78D6" w:rsidP="003F37AC">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1A78D6" w:rsidRPr="003A7C49" w:rsidRDefault="001A78D6" w:rsidP="003F37AC">
            <w:pPr>
              <w:jc w:val="both"/>
              <w:rPr>
                <w:color w:val="FFFFFF"/>
                <w:sz w:val="22"/>
                <w:szCs w:val="22"/>
              </w:rPr>
            </w:pPr>
            <w:r w:rsidRPr="003A7C49">
              <w:rPr>
                <w:color w:val="FFFFFF"/>
                <w:sz w:val="22"/>
                <w:szCs w:val="22"/>
              </w:rPr>
              <w:t>Other Planning Documents</w:t>
            </w:r>
          </w:p>
        </w:tc>
      </w:tr>
      <w:tr w:rsidR="001A78D6" w:rsidRPr="003A7C49" w:rsidTr="003F37AC">
        <w:trPr>
          <w:trHeight w:val="900"/>
        </w:trPr>
        <w:tc>
          <w:tcPr>
            <w:tcW w:w="1809" w:type="dxa"/>
            <w:shd w:val="clear" w:color="auto" w:fill="548DD4"/>
          </w:tcPr>
          <w:p w:rsidR="001A78D6" w:rsidRPr="003A7C49" w:rsidRDefault="001A78D6" w:rsidP="003F37AC">
            <w:pPr>
              <w:jc w:val="center"/>
              <w:rPr>
                <w:b/>
                <w:color w:val="FFFFFF"/>
                <w:sz w:val="22"/>
                <w:szCs w:val="22"/>
              </w:rPr>
            </w:pPr>
            <w:r>
              <w:rPr>
                <w:b/>
                <w:color w:val="FFFFFF"/>
                <w:sz w:val="22"/>
                <w:szCs w:val="22"/>
              </w:rPr>
              <w:t>Design</w:t>
            </w:r>
          </w:p>
        </w:tc>
        <w:tc>
          <w:tcPr>
            <w:tcW w:w="1560" w:type="dxa"/>
          </w:tcPr>
          <w:p w:rsidR="001A78D6" w:rsidRPr="003A7C49" w:rsidRDefault="001A78D6" w:rsidP="003F37AC">
            <w:pPr>
              <w:jc w:val="both"/>
              <w:rPr>
                <w:bCs/>
                <w:sz w:val="22"/>
                <w:szCs w:val="22"/>
              </w:rPr>
            </w:pPr>
            <w:r>
              <w:rPr>
                <w:bCs/>
                <w:sz w:val="22"/>
                <w:szCs w:val="22"/>
              </w:rPr>
              <w:t>12</w:t>
            </w:r>
          </w:p>
        </w:tc>
        <w:tc>
          <w:tcPr>
            <w:tcW w:w="1417" w:type="dxa"/>
          </w:tcPr>
          <w:p w:rsidR="001A78D6" w:rsidRPr="003A7C49" w:rsidRDefault="001A78D6" w:rsidP="003F37AC">
            <w:pPr>
              <w:jc w:val="both"/>
              <w:rPr>
                <w:bCs/>
                <w:iCs/>
                <w:sz w:val="22"/>
                <w:szCs w:val="22"/>
              </w:rPr>
            </w:pPr>
            <w:r>
              <w:rPr>
                <w:bCs/>
                <w:iCs/>
                <w:sz w:val="22"/>
                <w:szCs w:val="22"/>
              </w:rPr>
              <w:t xml:space="preserve">CP1, CP8, CP9, CP11, CP13, CP20, SR2, </w:t>
            </w:r>
          </w:p>
        </w:tc>
        <w:tc>
          <w:tcPr>
            <w:tcW w:w="1418" w:type="dxa"/>
          </w:tcPr>
          <w:p w:rsidR="001A78D6" w:rsidRPr="003A7C49" w:rsidRDefault="001A78D6" w:rsidP="003F37AC">
            <w:pPr>
              <w:jc w:val="both"/>
              <w:rPr>
                <w:bCs/>
                <w:iCs/>
                <w:sz w:val="22"/>
                <w:szCs w:val="22"/>
              </w:rPr>
            </w:pPr>
            <w:r>
              <w:rPr>
                <w:bCs/>
                <w:iCs/>
                <w:sz w:val="22"/>
                <w:szCs w:val="22"/>
              </w:rPr>
              <w:t xml:space="preserve">CS18_, </w:t>
            </w:r>
          </w:p>
        </w:tc>
        <w:tc>
          <w:tcPr>
            <w:tcW w:w="1701" w:type="dxa"/>
          </w:tcPr>
          <w:p w:rsidR="001A78D6" w:rsidRPr="003A7C49" w:rsidRDefault="001A78D6" w:rsidP="003F37AC">
            <w:pPr>
              <w:jc w:val="both"/>
              <w:rPr>
                <w:bCs/>
                <w:iCs/>
                <w:sz w:val="22"/>
                <w:szCs w:val="22"/>
              </w:rPr>
            </w:pPr>
          </w:p>
        </w:tc>
        <w:tc>
          <w:tcPr>
            <w:tcW w:w="1701" w:type="dxa"/>
          </w:tcPr>
          <w:p w:rsidR="001A78D6" w:rsidRPr="003A7C49" w:rsidRDefault="001A78D6" w:rsidP="003F37AC">
            <w:pPr>
              <w:jc w:val="both"/>
              <w:rPr>
                <w:bCs/>
                <w:iCs/>
                <w:sz w:val="22"/>
                <w:szCs w:val="22"/>
              </w:rPr>
            </w:pPr>
          </w:p>
        </w:tc>
      </w:tr>
      <w:tr w:rsidR="001A78D6" w:rsidRPr="003A7C49" w:rsidTr="003F37AC">
        <w:trPr>
          <w:trHeight w:val="900"/>
        </w:trPr>
        <w:tc>
          <w:tcPr>
            <w:tcW w:w="1809" w:type="dxa"/>
            <w:shd w:val="clear" w:color="auto" w:fill="548DD4"/>
          </w:tcPr>
          <w:p w:rsidR="001A78D6" w:rsidRPr="003A7C49" w:rsidRDefault="001A78D6" w:rsidP="003F37AC">
            <w:pPr>
              <w:jc w:val="center"/>
              <w:rPr>
                <w:b/>
                <w:color w:val="FFFFFF"/>
                <w:sz w:val="22"/>
                <w:szCs w:val="22"/>
              </w:rPr>
            </w:pPr>
            <w:r>
              <w:rPr>
                <w:b/>
                <w:color w:val="FFFFFF"/>
                <w:sz w:val="22"/>
                <w:szCs w:val="22"/>
              </w:rPr>
              <w:t>Natural Environment</w:t>
            </w:r>
          </w:p>
        </w:tc>
        <w:tc>
          <w:tcPr>
            <w:tcW w:w="1560" w:type="dxa"/>
            <w:shd w:val="clear" w:color="auto" w:fill="D3DFEE"/>
          </w:tcPr>
          <w:p w:rsidR="001A78D6" w:rsidRPr="003A7C49" w:rsidRDefault="001A78D6" w:rsidP="003F37AC">
            <w:pPr>
              <w:jc w:val="both"/>
              <w:rPr>
                <w:bCs/>
                <w:sz w:val="22"/>
                <w:szCs w:val="22"/>
              </w:rPr>
            </w:pPr>
            <w:r>
              <w:rPr>
                <w:bCs/>
                <w:sz w:val="22"/>
                <w:szCs w:val="22"/>
              </w:rPr>
              <w:t>12, 13</w:t>
            </w:r>
          </w:p>
        </w:tc>
        <w:tc>
          <w:tcPr>
            <w:tcW w:w="1417" w:type="dxa"/>
            <w:shd w:val="clear" w:color="auto" w:fill="D3DFEE"/>
          </w:tcPr>
          <w:p w:rsidR="001A78D6" w:rsidRPr="003A7C49" w:rsidRDefault="001A78D6" w:rsidP="003F37AC">
            <w:pPr>
              <w:jc w:val="both"/>
              <w:rPr>
                <w:bCs/>
                <w:iCs/>
                <w:sz w:val="22"/>
                <w:szCs w:val="22"/>
              </w:rPr>
            </w:pPr>
          </w:p>
        </w:tc>
        <w:tc>
          <w:tcPr>
            <w:tcW w:w="1418" w:type="dxa"/>
            <w:shd w:val="clear" w:color="auto" w:fill="D3DFEE"/>
          </w:tcPr>
          <w:p w:rsidR="001A78D6" w:rsidRPr="003A7C49" w:rsidRDefault="001A78D6" w:rsidP="003F37AC">
            <w:pPr>
              <w:jc w:val="both"/>
              <w:rPr>
                <w:bCs/>
                <w:iCs/>
                <w:sz w:val="22"/>
                <w:szCs w:val="22"/>
              </w:rPr>
            </w:pPr>
            <w:r>
              <w:rPr>
                <w:bCs/>
                <w:iCs/>
                <w:sz w:val="22"/>
                <w:szCs w:val="22"/>
              </w:rPr>
              <w:t xml:space="preserve">CS4_, </w:t>
            </w:r>
          </w:p>
        </w:tc>
        <w:tc>
          <w:tcPr>
            <w:tcW w:w="1701" w:type="dxa"/>
            <w:shd w:val="clear" w:color="auto" w:fill="D3DFEE"/>
          </w:tcPr>
          <w:p w:rsidR="001A78D6" w:rsidRPr="003A7C49" w:rsidRDefault="001A78D6" w:rsidP="003F37AC">
            <w:pPr>
              <w:jc w:val="both"/>
              <w:rPr>
                <w:bCs/>
                <w:iCs/>
                <w:sz w:val="22"/>
                <w:szCs w:val="22"/>
              </w:rPr>
            </w:pPr>
          </w:p>
        </w:tc>
        <w:tc>
          <w:tcPr>
            <w:tcW w:w="1701" w:type="dxa"/>
            <w:shd w:val="clear" w:color="auto" w:fill="D3DFEE"/>
          </w:tcPr>
          <w:p w:rsidR="001A78D6" w:rsidRPr="003A7C49" w:rsidRDefault="001A78D6" w:rsidP="003F37AC">
            <w:pPr>
              <w:jc w:val="both"/>
              <w:rPr>
                <w:bCs/>
                <w:iCs/>
                <w:sz w:val="22"/>
                <w:szCs w:val="22"/>
              </w:rPr>
            </w:pPr>
          </w:p>
        </w:tc>
      </w:tr>
      <w:tr w:rsidR="001A78D6" w:rsidRPr="003A7C49" w:rsidTr="003F37AC">
        <w:trPr>
          <w:trHeight w:val="600"/>
        </w:trPr>
        <w:tc>
          <w:tcPr>
            <w:tcW w:w="1809" w:type="dxa"/>
            <w:shd w:val="clear" w:color="auto" w:fill="548DD4"/>
          </w:tcPr>
          <w:p w:rsidR="001A78D6" w:rsidRPr="003A7C49" w:rsidRDefault="001A78D6" w:rsidP="003F37AC">
            <w:pPr>
              <w:jc w:val="center"/>
              <w:rPr>
                <w:b/>
                <w:color w:val="FFFFFF"/>
                <w:sz w:val="22"/>
                <w:szCs w:val="22"/>
              </w:rPr>
            </w:pPr>
            <w:r>
              <w:rPr>
                <w:b/>
                <w:color w:val="FFFFFF"/>
                <w:sz w:val="22"/>
                <w:szCs w:val="22"/>
              </w:rPr>
              <w:t>Social and community</w:t>
            </w:r>
          </w:p>
        </w:tc>
        <w:tc>
          <w:tcPr>
            <w:tcW w:w="1560" w:type="dxa"/>
          </w:tcPr>
          <w:p w:rsidR="001A78D6" w:rsidRPr="003A7C49" w:rsidRDefault="001A78D6" w:rsidP="003F37AC">
            <w:pPr>
              <w:jc w:val="both"/>
              <w:rPr>
                <w:bCs/>
                <w:sz w:val="22"/>
                <w:szCs w:val="22"/>
              </w:rPr>
            </w:pPr>
            <w:r>
              <w:rPr>
                <w:bCs/>
                <w:sz w:val="22"/>
                <w:szCs w:val="22"/>
              </w:rPr>
              <w:t>8</w:t>
            </w:r>
          </w:p>
        </w:tc>
        <w:tc>
          <w:tcPr>
            <w:tcW w:w="1417" w:type="dxa"/>
          </w:tcPr>
          <w:p w:rsidR="001A78D6" w:rsidRPr="003A7C49" w:rsidRDefault="001A78D6" w:rsidP="003F37AC">
            <w:pPr>
              <w:jc w:val="both"/>
              <w:rPr>
                <w:bCs/>
                <w:iCs/>
                <w:sz w:val="22"/>
                <w:szCs w:val="22"/>
              </w:rPr>
            </w:pPr>
          </w:p>
        </w:tc>
        <w:tc>
          <w:tcPr>
            <w:tcW w:w="1418" w:type="dxa"/>
          </w:tcPr>
          <w:p w:rsidR="001A78D6" w:rsidRPr="003A7C49" w:rsidRDefault="001A78D6" w:rsidP="003F37AC">
            <w:pPr>
              <w:jc w:val="both"/>
              <w:rPr>
                <w:bCs/>
                <w:iCs/>
                <w:sz w:val="22"/>
                <w:szCs w:val="22"/>
              </w:rPr>
            </w:pPr>
          </w:p>
        </w:tc>
        <w:tc>
          <w:tcPr>
            <w:tcW w:w="1701" w:type="dxa"/>
          </w:tcPr>
          <w:p w:rsidR="001A78D6" w:rsidRPr="003A7C49" w:rsidRDefault="001A78D6" w:rsidP="003F37AC">
            <w:pPr>
              <w:jc w:val="both"/>
              <w:rPr>
                <w:bCs/>
                <w:iCs/>
                <w:sz w:val="22"/>
                <w:szCs w:val="22"/>
              </w:rPr>
            </w:pPr>
          </w:p>
        </w:tc>
        <w:tc>
          <w:tcPr>
            <w:tcW w:w="1701" w:type="dxa"/>
          </w:tcPr>
          <w:p w:rsidR="001A78D6" w:rsidRPr="003A7C49" w:rsidRDefault="001A78D6" w:rsidP="003F37AC">
            <w:pPr>
              <w:jc w:val="both"/>
              <w:rPr>
                <w:bCs/>
                <w:iCs/>
                <w:sz w:val="22"/>
                <w:szCs w:val="22"/>
              </w:rPr>
            </w:pPr>
          </w:p>
        </w:tc>
      </w:tr>
      <w:tr w:rsidR="001A78D6" w:rsidRPr="003A7C49" w:rsidTr="003F37AC">
        <w:trPr>
          <w:trHeight w:val="300"/>
        </w:trPr>
        <w:tc>
          <w:tcPr>
            <w:tcW w:w="1809" w:type="dxa"/>
            <w:shd w:val="clear" w:color="auto" w:fill="548DD4"/>
          </w:tcPr>
          <w:p w:rsidR="001A78D6" w:rsidRPr="003A7C49" w:rsidRDefault="001A78D6" w:rsidP="003F37AC">
            <w:pPr>
              <w:jc w:val="both"/>
              <w:rPr>
                <w:b/>
                <w:color w:val="FFFFFF"/>
                <w:sz w:val="22"/>
                <w:szCs w:val="22"/>
              </w:rPr>
            </w:pPr>
            <w:r w:rsidRPr="003A7C49">
              <w:rPr>
                <w:b/>
                <w:color w:val="FFFFFF"/>
                <w:sz w:val="22"/>
                <w:szCs w:val="22"/>
              </w:rPr>
              <w:t>Transport</w:t>
            </w:r>
          </w:p>
        </w:tc>
        <w:tc>
          <w:tcPr>
            <w:tcW w:w="1560" w:type="dxa"/>
            <w:shd w:val="clear" w:color="auto" w:fill="D3DFEE"/>
          </w:tcPr>
          <w:p w:rsidR="001A78D6" w:rsidRPr="003A7C49" w:rsidRDefault="001A78D6" w:rsidP="003F37AC">
            <w:pPr>
              <w:jc w:val="both"/>
              <w:rPr>
                <w:bCs/>
                <w:sz w:val="22"/>
                <w:szCs w:val="22"/>
              </w:rPr>
            </w:pPr>
            <w:r>
              <w:rPr>
                <w:bCs/>
                <w:sz w:val="22"/>
                <w:szCs w:val="22"/>
              </w:rPr>
              <w:t>9</w:t>
            </w:r>
          </w:p>
        </w:tc>
        <w:tc>
          <w:tcPr>
            <w:tcW w:w="1417" w:type="dxa"/>
            <w:shd w:val="clear" w:color="auto" w:fill="D3DFEE"/>
          </w:tcPr>
          <w:p w:rsidR="001A78D6" w:rsidRPr="003A7C49" w:rsidRDefault="001A78D6" w:rsidP="003F37AC">
            <w:pPr>
              <w:jc w:val="both"/>
              <w:rPr>
                <w:bCs/>
                <w:iCs/>
                <w:sz w:val="22"/>
                <w:szCs w:val="22"/>
              </w:rPr>
            </w:pPr>
          </w:p>
        </w:tc>
        <w:tc>
          <w:tcPr>
            <w:tcW w:w="1418" w:type="dxa"/>
            <w:shd w:val="clear" w:color="auto" w:fill="D3DFEE"/>
          </w:tcPr>
          <w:p w:rsidR="001A78D6" w:rsidRPr="003A7C49" w:rsidRDefault="001A78D6" w:rsidP="003F37AC">
            <w:pPr>
              <w:jc w:val="both"/>
              <w:rPr>
                <w:bCs/>
                <w:iCs/>
                <w:sz w:val="22"/>
                <w:szCs w:val="22"/>
              </w:rPr>
            </w:pPr>
          </w:p>
        </w:tc>
        <w:tc>
          <w:tcPr>
            <w:tcW w:w="1701" w:type="dxa"/>
            <w:shd w:val="clear" w:color="auto" w:fill="D3DFEE"/>
          </w:tcPr>
          <w:p w:rsidR="001A78D6" w:rsidRPr="003A7C49" w:rsidRDefault="001A78D6" w:rsidP="003F37AC">
            <w:pPr>
              <w:jc w:val="both"/>
              <w:rPr>
                <w:bCs/>
                <w:iCs/>
                <w:sz w:val="22"/>
                <w:szCs w:val="22"/>
              </w:rPr>
            </w:pPr>
          </w:p>
        </w:tc>
        <w:tc>
          <w:tcPr>
            <w:tcW w:w="1701" w:type="dxa"/>
            <w:shd w:val="clear" w:color="auto" w:fill="D3DFEE"/>
          </w:tcPr>
          <w:p w:rsidR="001A78D6" w:rsidRPr="003A7C49" w:rsidRDefault="001A78D6" w:rsidP="003F37AC">
            <w:pPr>
              <w:jc w:val="both"/>
              <w:rPr>
                <w:bCs/>
                <w:iCs/>
                <w:sz w:val="22"/>
                <w:szCs w:val="22"/>
              </w:rPr>
            </w:pPr>
          </w:p>
        </w:tc>
      </w:tr>
      <w:tr w:rsidR="001A78D6" w:rsidRPr="003A7C49" w:rsidTr="003F37AC">
        <w:trPr>
          <w:trHeight w:val="900"/>
        </w:trPr>
        <w:tc>
          <w:tcPr>
            <w:tcW w:w="1809" w:type="dxa"/>
            <w:shd w:val="clear" w:color="auto" w:fill="548DD4"/>
          </w:tcPr>
          <w:p w:rsidR="001A78D6" w:rsidRPr="003A7C49" w:rsidRDefault="001A78D6" w:rsidP="003F37AC">
            <w:pPr>
              <w:jc w:val="both"/>
              <w:rPr>
                <w:b/>
                <w:color w:val="FFFFFF"/>
                <w:sz w:val="22"/>
                <w:szCs w:val="22"/>
              </w:rPr>
            </w:pPr>
            <w:r w:rsidRPr="003A7C49">
              <w:rPr>
                <w:b/>
                <w:color w:val="FFFFFF"/>
                <w:sz w:val="22"/>
                <w:szCs w:val="22"/>
              </w:rPr>
              <w:t>Environmental</w:t>
            </w:r>
          </w:p>
        </w:tc>
        <w:tc>
          <w:tcPr>
            <w:tcW w:w="1560" w:type="dxa"/>
          </w:tcPr>
          <w:p w:rsidR="001A78D6" w:rsidRPr="003A7C49" w:rsidRDefault="001A78D6" w:rsidP="003F37AC">
            <w:pPr>
              <w:jc w:val="both"/>
              <w:rPr>
                <w:bCs/>
                <w:sz w:val="22"/>
                <w:szCs w:val="22"/>
              </w:rPr>
            </w:pPr>
            <w:r>
              <w:rPr>
                <w:bCs/>
                <w:sz w:val="22"/>
                <w:szCs w:val="22"/>
              </w:rPr>
              <w:t>12</w:t>
            </w:r>
          </w:p>
        </w:tc>
        <w:tc>
          <w:tcPr>
            <w:tcW w:w="1417" w:type="dxa"/>
          </w:tcPr>
          <w:p w:rsidR="001A78D6" w:rsidRPr="003A7C49" w:rsidRDefault="001A78D6" w:rsidP="003F37AC">
            <w:pPr>
              <w:jc w:val="both"/>
              <w:rPr>
                <w:bCs/>
                <w:iCs/>
                <w:sz w:val="22"/>
                <w:szCs w:val="22"/>
              </w:rPr>
            </w:pPr>
          </w:p>
        </w:tc>
        <w:tc>
          <w:tcPr>
            <w:tcW w:w="1418" w:type="dxa"/>
          </w:tcPr>
          <w:p w:rsidR="001A78D6" w:rsidRPr="003A7C49" w:rsidRDefault="001A78D6" w:rsidP="003F37AC">
            <w:pPr>
              <w:jc w:val="both"/>
              <w:rPr>
                <w:bCs/>
                <w:iCs/>
                <w:sz w:val="22"/>
                <w:szCs w:val="22"/>
              </w:rPr>
            </w:pPr>
          </w:p>
        </w:tc>
        <w:tc>
          <w:tcPr>
            <w:tcW w:w="1701" w:type="dxa"/>
          </w:tcPr>
          <w:p w:rsidR="001A78D6" w:rsidRPr="003A7C49" w:rsidRDefault="001A78D6" w:rsidP="003F37AC">
            <w:pPr>
              <w:jc w:val="both"/>
              <w:rPr>
                <w:bCs/>
                <w:iCs/>
                <w:sz w:val="22"/>
                <w:szCs w:val="22"/>
              </w:rPr>
            </w:pPr>
          </w:p>
        </w:tc>
        <w:tc>
          <w:tcPr>
            <w:tcW w:w="1701" w:type="dxa"/>
          </w:tcPr>
          <w:p w:rsidR="001A78D6" w:rsidRPr="003A7C49" w:rsidRDefault="001A78D6" w:rsidP="003F37AC">
            <w:pPr>
              <w:jc w:val="both"/>
              <w:rPr>
                <w:bCs/>
                <w:iCs/>
                <w:sz w:val="22"/>
                <w:szCs w:val="22"/>
              </w:rPr>
            </w:pPr>
          </w:p>
        </w:tc>
      </w:tr>
      <w:tr w:rsidR="001A78D6" w:rsidRPr="003A7C49" w:rsidTr="003F37AC">
        <w:trPr>
          <w:trHeight w:val="600"/>
        </w:trPr>
        <w:tc>
          <w:tcPr>
            <w:tcW w:w="1809" w:type="dxa"/>
            <w:shd w:val="clear" w:color="auto" w:fill="548DD4"/>
          </w:tcPr>
          <w:p w:rsidR="001A78D6" w:rsidRPr="003A7C49" w:rsidRDefault="001A78D6" w:rsidP="003F37AC">
            <w:pPr>
              <w:jc w:val="both"/>
              <w:rPr>
                <w:b/>
                <w:color w:val="FFFFFF"/>
                <w:sz w:val="22"/>
                <w:szCs w:val="22"/>
              </w:rPr>
            </w:pPr>
            <w:proofErr w:type="spellStart"/>
            <w:r w:rsidRPr="003A7C49">
              <w:rPr>
                <w:b/>
                <w:color w:val="FFFFFF"/>
                <w:sz w:val="22"/>
                <w:szCs w:val="22"/>
              </w:rPr>
              <w:t>Misc</w:t>
            </w:r>
            <w:proofErr w:type="spellEnd"/>
          </w:p>
        </w:tc>
        <w:tc>
          <w:tcPr>
            <w:tcW w:w="1560" w:type="dxa"/>
            <w:shd w:val="clear" w:color="auto" w:fill="D3DFEE"/>
          </w:tcPr>
          <w:p w:rsidR="001A78D6" w:rsidRPr="003A7C49" w:rsidRDefault="001A78D6" w:rsidP="003F37AC">
            <w:pPr>
              <w:jc w:val="both"/>
              <w:rPr>
                <w:bCs/>
                <w:sz w:val="22"/>
                <w:szCs w:val="22"/>
              </w:rPr>
            </w:pPr>
          </w:p>
        </w:tc>
        <w:tc>
          <w:tcPr>
            <w:tcW w:w="1417" w:type="dxa"/>
            <w:shd w:val="clear" w:color="auto" w:fill="D3DFEE"/>
          </w:tcPr>
          <w:p w:rsidR="001A78D6" w:rsidRPr="003A7C49" w:rsidRDefault="001A78D6" w:rsidP="003F37AC">
            <w:pPr>
              <w:jc w:val="both"/>
              <w:rPr>
                <w:bCs/>
                <w:iCs/>
                <w:sz w:val="22"/>
                <w:szCs w:val="22"/>
              </w:rPr>
            </w:pPr>
            <w:r w:rsidRPr="003A7C49">
              <w:rPr>
                <w:bCs/>
                <w:iCs/>
                <w:sz w:val="22"/>
                <w:szCs w:val="22"/>
              </w:rPr>
              <w:t>CP.13, CP.24, CP.25</w:t>
            </w:r>
          </w:p>
        </w:tc>
        <w:tc>
          <w:tcPr>
            <w:tcW w:w="1418" w:type="dxa"/>
            <w:shd w:val="clear" w:color="auto" w:fill="D3DFEE"/>
          </w:tcPr>
          <w:p w:rsidR="001A78D6" w:rsidRPr="003A7C49" w:rsidRDefault="001A78D6" w:rsidP="003F37AC">
            <w:pPr>
              <w:jc w:val="both"/>
              <w:rPr>
                <w:bCs/>
                <w:iCs/>
                <w:sz w:val="22"/>
                <w:szCs w:val="22"/>
              </w:rPr>
            </w:pPr>
          </w:p>
        </w:tc>
        <w:tc>
          <w:tcPr>
            <w:tcW w:w="1701" w:type="dxa"/>
            <w:shd w:val="clear" w:color="auto" w:fill="D3DFEE"/>
          </w:tcPr>
          <w:p w:rsidR="001A78D6" w:rsidRPr="003A7C49" w:rsidRDefault="001A78D6" w:rsidP="003F37AC">
            <w:pPr>
              <w:jc w:val="both"/>
              <w:rPr>
                <w:bCs/>
                <w:iCs/>
                <w:sz w:val="22"/>
                <w:szCs w:val="22"/>
              </w:rPr>
            </w:pPr>
            <w:r w:rsidRPr="003A7C49">
              <w:rPr>
                <w:bCs/>
                <w:iCs/>
                <w:sz w:val="22"/>
                <w:szCs w:val="22"/>
              </w:rPr>
              <w:t>MP1</w:t>
            </w:r>
          </w:p>
        </w:tc>
        <w:tc>
          <w:tcPr>
            <w:tcW w:w="1701" w:type="dxa"/>
            <w:shd w:val="clear" w:color="auto" w:fill="D3DFEE"/>
          </w:tcPr>
          <w:p w:rsidR="001A78D6" w:rsidRPr="003A7C49" w:rsidRDefault="001A78D6" w:rsidP="003F37AC">
            <w:pPr>
              <w:jc w:val="both"/>
              <w:rPr>
                <w:bCs/>
                <w:iCs/>
                <w:sz w:val="22"/>
                <w:szCs w:val="22"/>
              </w:rPr>
            </w:pPr>
          </w:p>
        </w:tc>
      </w:tr>
    </w:tbl>
    <w:p w:rsidR="001A78D6" w:rsidRDefault="001A78D6" w:rsidP="001A78D6">
      <w:pPr>
        <w:jc w:val="both"/>
        <w:rPr>
          <w:bCs/>
        </w:rPr>
      </w:pPr>
    </w:p>
    <w:p w:rsidR="001A78D6" w:rsidRDefault="001A78D6" w:rsidP="001A78D6">
      <w:pPr>
        <w:jc w:val="both"/>
        <w:rPr>
          <w:bCs/>
        </w:rPr>
      </w:pPr>
    </w:p>
    <w:p w:rsidR="001A78D6" w:rsidRPr="001A78D6" w:rsidRDefault="00B26932" w:rsidP="00B26932">
      <w:pPr>
        <w:numPr>
          <w:ilvl w:val="1"/>
          <w:numId w:val="1"/>
        </w:numPr>
        <w:jc w:val="both"/>
        <w:rPr>
          <w:bCs/>
        </w:rPr>
      </w:pPr>
      <w:r>
        <w:t xml:space="preserve">As is the case with above application </w:t>
      </w:r>
      <w:r w:rsidRPr="00B26932">
        <w:t>18/01329/FUL</w:t>
      </w:r>
      <w:r>
        <w:t xml:space="preserve"> </w:t>
      </w:r>
      <w:r w:rsidR="001A78D6">
        <w:t xml:space="preserve">the </w:t>
      </w:r>
      <w:r>
        <w:t>proposals relate</w:t>
      </w:r>
      <w:r w:rsidR="001A78D6">
        <w:t xml:space="preserve"> to development in the Oxford Green Belt and </w:t>
      </w:r>
      <w:r>
        <w:t xml:space="preserve">similarly </w:t>
      </w:r>
      <w:r w:rsidR="001A78D6">
        <w:t xml:space="preserve">paragraphs 10.4 and 10.6 of the officers reference Paragraph 89 of the 2012 NPPF. As noted in reference to the above application, the wording of superseding Paragraph 145 lists identical exceptions to what is deemed inappropriate development; consequently there would be no additional considerations to take into account when determining the appropriateness of the development.   </w:t>
      </w:r>
    </w:p>
    <w:p w:rsidR="001A78D6" w:rsidRPr="008A22C6" w:rsidRDefault="001A78D6" w:rsidP="008A22C6"/>
    <w:sectPr w:rsidR="001A78D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D6"/>
    <w:rsid w:val="000B4310"/>
    <w:rsid w:val="001A78D6"/>
    <w:rsid w:val="004000D7"/>
    <w:rsid w:val="00504E43"/>
    <w:rsid w:val="007908F4"/>
    <w:rsid w:val="008A22C6"/>
    <w:rsid w:val="00B26932"/>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D6"/>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D6"/>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B960-EEB3-479D-9A1B-687E0E08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D265E2D</Template>
  <TotalTime>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mkemp</dc:creator>
  <cp:lastModifiedBy>mkemp</cp:lastModifiedBy>
  <cp:revision>2</cp:revision>
  <dcterms:created xsi:type="dcterms:W3CDTF">2018-07-30T15:42:00Z</dcterms:created>
  <dcterms:modified xsi:type="dcterms:W3CDTF">2018-07-30T15:48:00Z</dcterms:modified>
</cp:coreProperties>
</file>